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C3" w:rsidRPr="00B053C7" w:rsidRDefault="00522AFD" w:rsidP="00A301C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bookmarkStart w:id="0" w:name="_GoBack"/>
      <w:bookmarkEnd w:id="0"/>
      <w:r w:rsidRPr="00A301C3">
        <w:rPr>
          <w:bCs/>
        </w:rPr>
        <w:t xml:space="preserve">     </w:t>
      </w:r>
      <w:r w:rsidR="008D2D24">
        <w:rPr>
          <w:bCs/>
        </w:rPr>
        <w:tab/>
      </w:r>
      <w:r w:rsidR="00A301C3" w:rsidRPr="00B053C7">
        <w:rPr>
          <w:color w:val="000000"/>
        </w:rPr>
        <w:t>Şehit Öğretmen Elif Livan Anaokulu, eğitimde fırsat eşitliği sunarak tüm disiplinlerde eleştirel düşünme ve iletişim becerilerini kullanan, sorgulayan, kendini ifade eden, farklılıklara saygılı, yaratıcı bireyler yetiştirmeyi amaçlar.</w:t>
      </w:r>
    </w:p>
    <w:p w:rsidR="00A301C3" w:rsidRPr="00B053C7" w:rsidRDefault="00A301C3" w:rsidP="008D2D24">
      <w:pPr>
        <w:pStyle w:val="NormalWeb"/>
        <w:shd w:val="clear" w:color="auto" w:fill="FFFFFF"/>
        <w:spacing w:before="0" w:beforeAutospacing="0" w:after="300" w:afterAutospacing="0"/>
        <w:ind w:firstLine="708"/>
        <w:textAlignment w:val="baseline"/>
        <w:rPr>
          <w:color w:val="000000"/>
        </w:rPr>
      </w:pPr>
      <w:r w:rsidRPr="00B053C7">
        <w:rPr>
          <w:color w:val="000000"/>
        </w:rPr>
        <w:t xml:space="preserve">Belirtilen hedeflerimizle beraber, kurumsal anlamda okulumuzda yaşayanlara sağlıklı ve güvenli ortam sağlamaktan, çevreye verdiğimiz zararları minimize etmekten, </w:t>
      </w:r>
      <w:r w:rsidR="00665756" w:rsidRPr="00B053C7">
        <w:rPr>
          <w:color w:val="000000"/>
        </w:rPr>
        <w:t>okul çevremizdeki</w:t>
      </w:r>
      <w:r w:rsidRPr="00B053C7">
        <w:rPr>
          <w:color w:val="000000"/>
        </w:rPr>
        <w:t xml:space="preserve"> doğal dengeleri korumak ve katkıda bulunmaktan da sorumluyuz.</w:t>
      </w:r>
    </w:p>
    <w:p w:rsidR="00A301C3" w:rsidRPr="00B053C7" w:rsidRDefault="00A301C3" w:rsidP="008D2D24">
      <w:pPr>
        <w:pStyle w:val="NormalWeb"/>
        <w:shd w:val="clear" w:color="auto" w:fill="FFFFFF"/>
        <w:spacing w:before="0" w:beforeAutospacing="0" w:after="300" w:afterAutospacing="0"/>
        <w:ind w:firstLine="708"/>
        <w:textAlignment w:val="baseline"/>
        <w:rPr>
          <w:color w:val="000000"/>
        </w:rPr>
      </w:pPr>
      <w:r w:rsidRPr="00B053C7">
        <w:rPr>
          <w:color w:val="000000"/>
        </w:rPr>
        <w:t>Bu sorumluluğumuza; öğrenciler, aileleri, çalışanlarımız, ziyaretçiler ve çevre halkı dahildir.</w:t>
      </w:r>
    </w:p>
    <w:p w:rsidR="00A301C3" w:rsidRDefault="00A301C3" w:rsidP="008D2D24">
      <w:pPr>
        <w:pStyle w:val="NormalWeb"/>
        <w:shd w:val="clear" w:color="auto" w:fill="FFFFFF"/>
        <w:spacing w:before="0" w:beforeAutospacing="0" w:after="300" w:afterAutospacing="0"/>
        <w:ind w:firstLine="708"/>
        <w:textAlignment w:val="baseline"/>
        <w:rPr>
          <w:color w:val="000000"/>
        </w:rPr>
      </w:pPr>
      <w:r w:rsidRPr="00B053C7">
        <w:rPr>
          <w:color w:val="000000"/>
        </w:rPr>
        <w:t>Tüm kazaların önlenebilir olduğuna inanmaktayız ve bu hedefe, sürekli kendini geliştirme anlayışı ve Sıfır Kaza Politikaları sayesinde ulaşılacağı bilincindeyiz.</w:t>
      </w:r>
    </w:p>
    <w:p w:rsidR="00BF0AB1" w:rsidRPr="00B053C7" w:rsidRDefault="00BF0AB1" w:rsidP="008D2D24">
      <w:pPr>
        <w:pStyle w:val="NormalWeb"/>
        <w:shd w:val="clear" w:color="auto" w:fill="FFFFFF"/>
        <w:spacing w:before="0" w:beforeAutospacing="0" w:after="300" w:afterAutospacing="0"/>
        <w:ind w:firstLine="708"/>
        <w:textAlignment w:val="baseline"/>
        <w:rPr>
          <w:color w:val="000000"/>
        </w:rPr>
      </w:pPr>
      <w:r w:rsidRPr="00B053C7">
        <w:rPr>
          <w:color w:val="000000"/>
        </w:rPr>
        <w:t>Tüm çalışanlarımızdan kendi faaliyetlerini sürdürürken, işçi sağlığı ve iş güvenliği gereklerine uymaları, çevreyi, mal ve mülkiyeti korumaları beklenmektedir.</w:t>
      </w:r>
    </w:p>
    <w:p w:rsidR="00A301C3" w:rsidRDefault="00B053C7" w:rsidP="00BF0AB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B053C7">
        <w:rPr>
          <w:rFonts w:ascii="Times New Roman" w:hAnsi="Times New Roman" w:cs="Times New Roman"/>
          <w:color w:val="000000"/>
          <w:sz w:val="24"/>
          <w:szCs w:val="24"/>
        </w:rPr>
        <w:t>Şehit Öğretmen Elif Livan Anaokulu</w:t>
      </w:r>
      <w:r w:rsidRPr="00B053C7">
        <w:rPr>
          <w:rFonts w:ascii="Times New Roman" w:hAnsi="Times New Roman" w:cs="Times New Roman"/>
          <w:bCs/>
          <w:color w:val="161616"/>
          <w:sz w:val="24"/>
          <w:szCs w:val="24"/>
          <w:lang w:val="tr-TR"/>
        </w:rPr>
        <w:t xml:space="preserve">  İş Sağlığı ve Güvenliği Kurulu olarak, İş Sağlığı ve Güvenliği bilincinin geliştirilmesi, yerleştirilmesi ve sürekliliğin sağlanması amacıyla okulumuz çalışanlarına ve öğrencilerimize eğitim vereceğimizi;</w:t>
      </w:r>
      <w:r w:rsidR="00BF0AB1">
        <w:rPr>
          <w:rFonts w:ascii="Times New Roman" w:hAnsi="Times New Roman" w:cs="Times New Roman"/>
          <w:bCs/>
          <w:color w:val="161616"/>
          <w:sz w:val="24"/>
          <w:szCs w:val="24"/>
          <w:lang w:val="tr-TR"/>
        </w:rPr>
        <w:t xml:space="preserve"> </w:t>
      </w:r>
      <w:r w:rsidRPr="00B053C7">
        <w:rPr>
          <w:rFonts w:ascii="Times New Roman" w:hAnsi="Times New Roman" w:cs="Times New Roman"/>
          <w:bCs/>
          <w:color w:val="161616"/>
          <w:sz w:val="24"/>
          <w:szCs w:val="24"/>
          <w:lang w:val="tr-TR"/>
        </w:rPr>
        <w:t>etkin risk değerlendirmeleri yaparak, riskleri tespit edip en aza indirip imkânlar dâhilinde ortadan kaldırmaya çalışacağımızı ve bunları düzenli olarak</w:t>
      </w:r>
      <w:r w:rsidRPr="00B053C7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TS 18001 İş Sağlığı ve Güvenliği Yönetim Sistemi Standardına uygun olarak gözden geçireceğimizi,</w:t>
      </w:r>
    </w:p>
    <w:p w:rsidR="00BF0AB1" w:rsidRPr="00BF0AB1" w:rsidRDefault="00BF0AB1" w:rsidP="00BF0AB1">
      <w:pPr>
        <w:pStyle w:val="AralkYok"/>
      </w:pPr>
    </w:p>
    <w:p w:rsidR="00A301C3" w:rsidRDefault="00A301C3" w:rsidP="008D2D24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B053C7">
        <w:rPr>
          <w:color w:val="000000"/>
        </w:rPr>
        <w:t xml:space="preserve">Çevre, </w:t>
      </w:r>
      <w:r w:rsidR="00B81543">
        <w:rPr>
          <w:color w:val="000000"/>
        </w:rPr>
        <w:t>İş</w:t>
      </w:r>
      <w:r w:rsidRPr="00B053C7">
        <w:rPr>
          <w:color w:val="000000"/>
        </w:rPr>
        <w:t xml:space="preserve"> Sağlığı ve İş Güvenliği (</w:t>
      </w:r>
      <w:r w:rsidR="00B81543">
        <w:rPr>
          <w:color w:val="000000"/>
        </w:rPr>
        <w:t>İ</w:t>
      </w:r>
      <w:r w:rsidRPr="00B053C7">
        <w:rPr>
          <w:color w:val="000000"/>
        </w:rPr>
        <w:t xml:space="preserve">GS) Politikamız okulumuzda sürdürülen faaliyetlerde önleyici tedbirler alarak ve olası tehlikeleri ortadan kaldırarak çalışanlarımız, öğrenciler, aileleri, ziyaretçiler </w:t>
      </w:r>
      <w:r w:rsidR="00410E45">
        <w:rPr>
          <w:color w:val="000000"/>
        </w:rPr>
        <w:t>için güvenli bir ortam sağlayacağımızı,</w:t>
      </w:r>
    </w:p>
    <w:p w:rsidR="003C53DD" w:rsidRPr="00B053C7" w:rsidRDefault="003C53DD" w:rsidP="008D2D24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</w:p>
    <w:p w:rsidR="00A301C3" w:rsidRPr="00B053C7" w:rsidRDefault="00410E45" w:rsidP="000014D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</w:rPr>
      </w:pPr>
      <w:r>
        <w:rPr>
          <w:color w:val="000000"/>
        </w:rPr>
        <w:t xml:space="preserve">            </w:t>
      </w:r>
      <w:r w:rsidR="00A301C3" w:rsidRPr="00B053C7">
        <w:rPr>
          <w:color w:val="000000"/>
        </w:rPr>
        <w:t xml:space="preserve">Bu nedenle, birlikte yaşadığımız, bitki örtüsü ve canlı varlığının olumsuz etkilenmemesi için kirliliği ve çevreye zararı önleyecek, yaralanmaları ve sağlık bozulmalarını önleyecek, </w:t>
      </w:r>
      <w:r w:rsidR="00635C6D" w:rsidRPr="00B053C7">
        <w:rPr>
          <w:color w:val="000000"/>
        </w:rPr>
        <w:t>okulumuzda</w:t>
      </w:r>
      <w:r w:rsidR="008D2D24" w:rsidRPr="00B053C7">
        <w:rPr>
          <w:color w:val="000000"/>
        </w:rPr>
        <w:t xml:space="preserve"> </w:t>
      </w:r>
      <w:r w:rsidR="00A301C3" w:rsidRPr="00B053C7">
        <w:rPr>
          <w:color w:val="000000"/>
        </w:rPr>
        <w:t xml:space="preserve">ki bütün canlılar üzerindeki riskleri en az seviyeye indirecek tedbirleri alarak, </w:t>
      </w:r>
      <w:r w:rsidR="00635C6D" w:rsidRPr="00B053C7">
        <w:rPr>
          <w:b/>
          <w:color w:val="000000"/>
        </w:rPr>
        <w:t>yürürlükte</w:t>
      </w:r>
      <w:r w:rsidR="00A301C3" w:rsidRPr="00B053C7">
        <w:rPr>
          <w:b/>
          <w:color w:val="000000"/>
        </w:rPr>
        <w:t xml:space="preserve">ki </w:t>
      </w:r>
      <w:r w:rsidR="000014D9" w:rsidRPr="00B053C7">
        <w:rPr>
          <w:b/>
          <w:color w:val="000000"/>
        </w:rPr>
        <w:t>okul</w:t>
      </w:r>
      <w:r w:rsidR="00A301C3" w:rsidRPr="00B053C7">
        <w:rPr>
          <w:b/>
          <w:color w:val="000000"/>
        </w:rPr>
        <w:t xml:space="preserve"> sağlığı ve iş güvenl</w:t>
      </w:r>
      <w:r w:rsidR="001852AD" w:rsidRPr="00B053C7">
        <w:rPr>
          <w:b/>
          <w:color w:val="000000"/>
        </w:rPr>
        <w:t xml:space="preserve">iği yasaları ile </w:t>
      </w:r>
      <w:r w:rsidR="00EB672B" w:rsidRPr="00B053C7">
        <w:rPr>
          <w:b/>
          <w:color w:val="000000"/>
        </w:rPr>
        <w:t>İş Sağlığı ve Güvenliği</w:t>
      </w:r>
      <w:r w:rsidR="001852AD" w:rsidRPr="00B053C7">
        <w:rPr>
          <w:b/>
          <w:color w:val="000000"/>
        </w:rPr>
        <w:t xml:space="preserve"> mevzuatına </w:t>
      </w:r>
      <w:r w:rsidR="00A301C3" w:rsidRPr="00B053C7">
        <w:rPr>
          <w:b/>
          <w:color w:val="000000"/>
        </w:rPr>
        <w:t xml:space="preserve">ve bağlı olduğumuz </w:t>
      </w:r>
      <w:r w:rsidR="002C7DDE" w:rsidRPr="00B053C7">
        <w:rPr>
          <w:b/>
          <w:color w:val="000000"/>
        </w:rPr>
        <w:t>birimlerin</w:t>
      </w:r>
      <w:r w:rsidR="00A301C3" w:rsidRPr="00B053C7">
        <w:rPr>
          <w:b/>
          <w:color w:val="000000"/>
        </w:rPr>
        <w:t xml:space="preserve"> ve k</w:t>
      </w:r>
      <w:r w:rsidR="00836503" w:rsidRPr="00B053C7">
        <w:rPr>
          <w:b/>
          <w:color w:val="000000"/>
        </w:rPr>
        <w:t xml:space="preserve">urumların şartlarına uyacağımız, kurup ve yönetmekte olduğumuz okul sağlığı ve iş güvenliği için gerekli olan </w:t>
      </w:r>
      <w:r w:rsidR="004F5864" w:rsidRPr="00B053C7">
        <w:rPr>
          <w:b/>
          <w:bCs/>
          <w:color w:val="161616"/>
        </w:rPr>
        <w:t>mali kaynakların</w:t>
      </w:r>
      <w:r w:rsidR="00836503" w:rsidRPr="00B053C7">
        <w:rPr>
          <w:b/>
          <w:color w:val="000000"/>
        </w:rPr>
        <w:t xml:space="preserve"> </w:t>
      </w:r>
      <w:r w:rsidR="004F5864" w:rsidRPr="00B053C7">
        <w:rPr>
          <w:b/>
          <w:color w:val="000000"/>
        </w:rPr>
        <w:t>sağlanacağı</w:t>
      </w:r>
      <w:r w:rsidR="00836503" w:rsidRPr="00B053C7">
        <w:rPr>
          <w:b/>
          <w:color w:val="000000"/>
        </w:rPr>
        <w:t xml:space="preserve"> </w:t>
      </w:r>
      <w:r w:rsidR="0003501C" w:rsidRPr="00B053C7">
        <w:rPr>
          <w:b/>
          <w:color w:val="000000"/>
        </w:rPr>
        <w:t>ve sistemimizi</w:t>
      </w:r>
      <w:r w:rsidR="00665756" w:rsidRPr="00B053C7">
        <w:rPr>
          <w:b/>
          <w:color w:val="000000"/>
        </w:rPr>
        <w:t xml:space="preserve"> sürekli iyileştireceğimizi,</w:t>
      </w:r>
    </w:p>
    <w:p w:rsidR="00EB672B" w:rsidRDefault="00EB672B" w:rsidP="00665756">
      <w:pPr>
        <w:jc w:val="center"/>
        <w:rPr>
          <w:rFonts w:asciiTheme="majorBidi" w:hAnsiTheme="majorBidi" w:cstheme="majorBidi"/>
          <w:bCs/>
          <w:i/>
          <w:color w:val="161616"/>
          <w:sz w:val="28"/>
          <w:szCs w:val="28"/>
          <w:lang w:val="tr-TR"/>
        </w:rPr>
      </w:pPr>
    </w:p>
    <w:p w:rsidR="00EB672B" w:rsidRDefault="00EB672B" w:rsidP="00665756">
      <w:pPr>
        <w:jc w:val="center"/>
        <w:rPr>
          <w:rFonts w:asciiTheme="majorBidi" w:hAnsiTheme="majorBidi" w:cstheme="majorBidi"/>
          <w:bCs/>
          <w:i/>
          <w:color w:val="161616"/>
          <w:sz w:val="28"/>
          <w:szCs w:val="28"/>
          <w:lang w:val="tr-TR"/>
        </w:rPr>
      </w:pPr>
    </w:p>
    <w:p w:rsidR="00665756" w:rsidRPr="006B25F9" w:rsidRDefault="00665756" w:rsidP="00665756">
      <w:pPr>
        <w:jc w:val="center"/>
        <w:rPr>
          <w:rFonts w:asciiTheme="majorBidi" w:hAnsiTheme="majorBidi" w:cstheme="majorBidi"/>
          <w:bCs/>
          <w:i/>
          <w:color w:val="161616"/>
          <w:sz w:val="28"/>
          <w:szCs w:val="28"/>
          <w:lang w:val="tr-TR"/>
        </w:rPr>
      </w:pPr>
      <w:r w:rsidRPr="006B25F9">
        <w:rPr>
          <w:rFonts w:asciiTheme="majorBidi" w:hAnsiTheme="majorBidi" w:cstheme="majorBidi"/>
          <w:bCs/>
          <w:i/>
          <w:color w:val="161616"/>
          <w:sz w:val="28"/>
          <w:szCs w:val="28"/>
          <w:lang w:val="tr-TR"/>
        </w:rPr>
        <w:t xml:space="preserve">İSG Politikamız olarak </w:t>
      </w:r>
      <w:r w:rsidRPr="00EB672B">
        <w:rPr>
          <w:rFonts w:asciiTheme="majorBidi" w:hAnsiTheme="majorBidi" w:cstheme="majorBidi"/>
          <w:b/>
          <w:bCs/>
          <w:i/>
          <w:color w:val="161616"/>
          <w:sz w:val="28"/>
          <w:szCs w:val="28"/>
          <w:lang w:val="tr-TR"/>
        </w:rPr>
        <w:t>TAAHHÜT</w:t>
      </w:r>
      <w:r w:rsidRPr="006B25F9">
        <w:rPr>
          <w:rFonts w:asciiTheme="majorBidi" w:hAnsiTheme="majorBidi" w:cstheme="majorBidi"/>
          <w:bCs/>
          <w:i/>
          <w:color w:val="161616"/>
          <w:sz w:val="28"/>
          <w:szCs w:val="28"/>
          <w:lang w:val="tr-TR"/>
        </w:rPr>
        <w:t xml:space="preserve"> ederiz.</w:t>
      </w:r>
    </w:p>
    <w:p w:rsidR="00665756" w:rsidRPr="00A301C3" w:rsidRDefault="00665756" w:rsidP="00665756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color w:val="000000"/>
        </w:rPr>
      </w:pPr>
    </w:p>
    <w:sectPr w:rsidR="00665756" w:rsidRPr="00A301C3" w:rsidSect="00583AD2">
      <w:headerReference w:type="default" r:id="rId8"/>
      <w:footerReference w:type="default" r:id="rId9"/>
      <w:pgSz w:w="11906" w:h="16838"/>
      <w:pgMar w:top="426" w:right="991" w:bottom="1417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D7" w:rsidRDefault="007A74D7" w:rsidP="003A7239">
      <w:r>
        <w:separator/>
      </w:r>
    </w:p>
  </w:endnote>
  <w:endnote w:type="continuationSeparator" w:id="0">
    <w:p w:rsidR="007A74D7" w:rsidRDefault="007A74D7" w:rsidP="003A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84"/>
      <w:gridCol w:w="3497"/>
    </w:tblGrid>
    <w:tr w:rsidR="00CD3D40" w:rsidTr="00CD3D40">
      <w:trPr>
        <w:cantSplit/>
        <w:trHeight w:val="247"/>
        <w:jc w:val="center"/>
      </w:trPr>
      <w:tc>
        <w:tcPr>
          <w:tcW w:w="3984" w:type="dxa"/>
        </w:tcPr>
        <w:p w:rsidR="00CD3D40" w:rsidRPr="001548B2" w:rsidRDefault="00CD3D40" w:rsidP="00522AFD">
          <w:pPr>
            <w:pStyle w:val="Altbilgi"/>
            <w:jc w:val="center"/>
          </w:pPr>
          <w:r w:rsidRPr="001548B2">
            <w:t>HAZIRLAYAN</w:t>
          </w:r>
        </w:p>
      </w:tc>
      <w:tc>
        <w:tcPr>
          <w:tcW w:w="3497" w:type="dxa"/>
        </w:tcPr>
        <w:p w:rsidR="00CD3D40" w:rsidRPr="001548B2" w:rsidRDefault="00CD3D40" w:rsidP="00522AFD">
          <w:pPr>
            <w:pStyle w:val="Altbilgi"/>
            <w:jc w:val="center"/>
          </w:pPr>
          <w:r w:rsidRPr="001548B2">
            <w:t>ONAY</w:t>
          </w:r>
        </w:p>
      </w:tc>
    </w:tr>
    <w:tr w:rsidR="00CD3D40" w:rsidTr="00CD3D40">
      <w:trPr>
        <w:cantSplit/>
        <w:trHeight w:val="301"/>
        <w:jc w:val="center"/>
      </w:trPr>
      <w:tc>
        <w:tcPr>
          <w:tcW w:w="3984" w:type="dxa"/>
        </w:tcPr>
        <w:p w:rsidR="00CD3D40" w:rsidRPr="009629BF" w:rsidRDefault="00CD3D40" w:rsidP="00522AFD">
          <w:pPr>
            <w:jc w:val="center"/>
            <w:rPr>
              <w:b/>
              <w:bCs/>
            </w:rPr>
          </w:pPr>
          <w:r w:rsidRPr="009629BF">
            <w:rPr>
              <w:b/>
              <w:bCs/>
            </w:rPr>
            <w:t>Kalite Yönetim Temsilcisi</w:t>
          </w:r>
        </w:p>
      </w:tc>
      <w:tc>
        <w:tcPr>
          <w:tcW w:w="3497" w:type="dxa"/>
        </w:tcPr>
        <w:p w:rsidR="00CD3D40" w:rsidRPr="00535ECE" w:rsidRDefault="00CD3D40" w:rsidP="00522AFD">
          <w:pPr>
            <w:pStyle w:val="Altbilgi"/>
            <w:jc w:val="center"/>
            <w:rPr>
              <w:b/>
              <w:bCs/>
            </w:rPr>
          </w:pPr>
          <w:r w:rsidRPr="00535ECE">
            <w:rPr>
              <w:b/>
              <w:bCs/>
            </w:rPr>
            <w:t>Okul Müdürü</w:t>
          </w:r>
        </w:p>
      </w:tc>
    </w:tr>
    <w:tr w:rsidR="00CD3D40" w:rsidTr="00CD3D40">
      <w:trPr>
        <w:cantSplit/>
        <w:trHeight w:val="247"/>
        <w:jc w:val="center"/>
      </w:trPr>
      <w:tc>
        <w:tcPr>
          <w:tcW w:w="3984" w:type="dxa"/>
        </w:tcPr>
        <w:p w:rsidR="00CD3D40" w:rsidRDefault="00CD3D40" w:rsidP="00522AFD">
          <w:pPr>
            <w:pStyle w:val="Altbilgi"/>
            <w:jc w:val="center"/>
          </w:pPr>
        </w:p>
        <w:p w:rsidR="00CD3D40" w:rsidRDefault="00CD3D40" w:rsidP="008D2D24">
          <w:pPr>
            <w:pStyle w:val="Altbilgi"/>
            <w:jc w:val="center"/>
          </w:pPr>
          <w:r>
            <w:t>Birsel YANAR</w:t>
          </w:r>
        </w:p>
      </w:tc>
      <w:tc>
        <w:tcPr>
          <w:tcW w:w="3497" w:type="dxa"/>
        </w:tcPr>
        <w:p w:rsidR="00CD3D40" w:rsidRDefault="00CD3D40" w:rsidP="00522AFD">
          <w:pPr>
            <w:pStyle w:val="Altbilgi"/>
          </w:pPr>
        </w:p>
        <w:p w:rsidR="00CD3D40" w:rsidRDefault="00CD3D40" w:rsidP="008D2D24">
          <w:pPr>
            <w:pStyle w:val="Altbilgi"/>
            <w:jc w:val="center"/>
          </w:pPr>
          <w:r>
            <w:t>Fethi OMAÇ</w:t>
          </w:r>
        </w:p>
      </w:tc>
    </w:tr>
  </w:tbl>
  <w:p w:rsidR="00522AFD" w:rsidRDefault="00522A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D7" w:rsidRDefault="007A74D7" w:rsidP="003A7239">
      <w:r>
        <w:separator/>
      </w:r>
    </w:p>
  </w:footnote>
  <w:footnote w:type="continuationSeparator" w:id="0">
    <w:p w:rsidR="007A74D7" w:rsidRDefault="007A74D7" w:rsidP="003A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5103"/>
      <w:gridCol w:w="1559"/>
      <w:gridCol w:w="1276"/>
    </w:tblGrid>
    <w:tr w:rsidR="003A7239" w:rsidTr="008C288B">
      <w:tc>
        <w:tcPr>
          <w:tcW w:w="22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239" w:rsidRDefault="00427995" w:rsidP="003A7239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3E203F7D" wp14:editId="76308296">
                <wp:extent cx="1011219" cy="1097280"/>
                <wp:effectExtent l="0" t="0" r="0" b="7620"/>
                <wp:docPr id="1" name="Resim 1" descr="\\mebpc\Ortak\MURAT SARIBAŞ OHSAS\elif livan logu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\\mebpc\Ortak\MURAT SARIBAŞ OHSAS\elif livan log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377" cy="1097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7239" w:rsidRDefault="003A7239" w:rsidP="003A7239">
          <w:pPr>
            <w:pStyle w:val="stbilgi"/>
            <w:jc w:val="center"/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239" w:rsidRDefault="003A7239" w:rsidP="003A7239">
          <w:pPr>
            <w:pStyle w:val="stbilgi"/>
            <w:jc w:val="center"/>
            <w:rPr>
              <w:b/>
            </w:rPr>
          </w:pPr>
        </w:p>
        <w:p w:rsidR="00F67840" w:rsidRDefault="00F67840" w:rsidP="00583AD2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T.C.</w:t>
          </w:r>
        </w:p>
        <w:p w:rsidR="00F67840" w:rsidRDefault="00F67840" w:rsidP="00583AD2">
          <w:pPr>
            <w:tabs>
              <w:tab w:val="left" w:pos="855"/>
              <w:tab w:val="center" w:pos="2443"/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YEŞİLYURT KAYMAKAMLIĞI</w:t>
          </w:r>
        </w:p>
        <w:p w:rsidR="00F67840" w:rsidRDefault="00F67840" w:rsidP="00583AD2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Şehit Öğretmen Elif Livan Anaokulu Müdürlüğü</w:t>
          </w:r>
        </w:p>
        <w:p w:rsidR="003A7239" w:rsidRDefault="003A7239" w:rsidP="00583AD2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3A7239" w:rsidRPr="004E62C3" w:rsidRDefault="00405D3C" w:rsidP="00583AD2">
          <w:pPr>
            <w:pStyle w:val="stbilgi"/>
            <w:jc w:val="center"/>
            <w:rPr>
              <w:b/>
            </w:rPr>
          </w:pPr>
          <w:r w:rsidRPr="004E62C3">
            <w:rPr>
              <w:rFonts w:ascii="Times New Roman" w:hAnsi="Times New Roman" w:cs="Times New Roman"/>
              <w:b/>
              <w:sz w:val="24"/>
            </w:rPr>
            <w:t>İ</w:t>
          </w:r>
          <w:r w:rsidR="00522AFD" w:rsidRPr="004E62C3">
            <w:rPr>
              <w:rFonts w:ascii="Times New Roman" w:hAnsi="Times New Roman" w:cs="Times New Roman"/>
              <w:b/>
              <w:sz w:val="24"/>
            </w:rPr>
            <w:t>SG POLİTİKASI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239" w:rsidRDefault="003A7239" w:rsidP="003A7239">
          <w:pPr>
            <w:pStyle w:val="stbilgi"/>
            <w:rPr>
              <w:sz w:val="18"/>
            </w:rPr>
          </w:pPr>
          <w:r>
            <w:rPr>
              <w:sz w:val="18"/>
            </w:rPr>
            <w:t>Döküman No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239" w:rsidRDefault="005F3FEC" w:rsidP="002451DB">
          <w:pPr>
            <w:pStyle w:val="stbilgi"/>
            <w:rPr>
              <w:sz w:val="18"/>
            </w:rPr>
          </w:pPr>
          <w:r>
            <w:rPr>
              <w:sz w:val="18"/>
            </w:rPr>
            <w:t>D.03</w:t>
          </w:r>
        </w:p>
      </w:tc>
    </w:tr>
    <w:tr w:rsidR="003A7239" w:rsidTr="008C288B">
      <w:tc>
        <w:tcPr>
          <w:tcW w:w="22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Default="003A7239" w:rsidP="003A7239">
          <w:pPr>
            <w:rPr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Default="003A7239" w:rsidP="003A7239">
          <w:pPr>
            <w:rPr>
              <w:b/>
              <w:lang w:eastAsia="tr-TR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239" w:rsidRDefault="003A7239" w:rsidP="003A7239">
          <w:pPr>
            <w:pStyle w:val="stbilgi"/>
            <w:rPr>
              <w:sz w:val="18"/>
            </w:rPr>
          </w:pPr>
          <w:r>
            <w:rPr>
              <w:sz w:val="18"/>
            </w:rPr>
            <w:t>Sayfa No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sdt>
          <w:sdtPr>
            <w:rPr>
              <w:lang w:val="tr-TR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A7239" w:rsidRPr="00EC2AE9" w:rsidRDefault="00EC2AE9" w:rsidP="00EC2AE9">
              <w:pPr>
                <w:rPr>
                  <w:lang w:val="tr-TR"/>
                </w:rPr>
              </w:pPr>
              <w:r>
                <w:rPr>
                  <w:lang w:val="tr-TR"/>
                </w:rPr>
                <w:fldChar w:fldCharType="begin"/>
              </w:r>
              <w:r>
                <w:rPr>
                  <w:lang w:val="tr-TR"/>
                </w:rPr>
                <w:instrText xml:space="preserve"> PAGE </w:instrText>
              </w:r>
              <w:r>
                <w:rPr>
                  <w:lang w:val="tr-TR"/>
                </w:rPr>
                <w:fldChar w:fldCharType="separate"/>
              </w:r>
              <w:r w:rsidR="007A74D7">
                <w:rPr>
                  <w:noProof/>
                  <w:lang w:val="tr-TR"/>
                </w:rPr>
                <w:t>1</w:t>
              </w:r>
              <w:r>
                <w:rPr>
                  <w:lang w:val="tr-TR"/>
                </w:rPr>
                <w:fldChar w:fldCharType="end"/>
              </w:r>
              <w:r>
                <w:rPr>
                  <w:lang w:val="tr-TR"/>
                </w:rPr>
                <w:t xml:space="preserve"> / </w:t>
              </w:r>
              <w:r>
                <w:rPr>
                  <w:lang w:val="tr-TR"/>
                </w:rPr>
                <w:fldChar w:fldCharType="begin"/>
              </w:r>
              <w:r>
                <w:rPr>
                  <w:lang w:val="tr-TR"/>
                </w:rPr>
                <w:instrText xml:space="preserve"> NUMPAGES  </w:instrText>
              </w:r>
              <w:r>
                <w:rPr>
                  <w:lang w:val="tr-TR"/>
                </w:rPr>
                <w:fldChar w:fldCharType="separate"/>
              </w:r>
              <w:r w:rsidR="007A74D7">
                <w:rPr>
                  <w:noProof/>
                  <w:lang w:val="tr-TR"/>
                </w:rPr>
                <w:t>1</w:t>
              </w:r>
              <w:r>
                <w:rPr>
                  <w:lang w:val="tr-TR"/>
                </w:rPr>
                <w:fldChar w:fldCharType="end"/>
              </w:r>
            </w:p>
          </w:sdtContent>
        </w:sdt>
      </w:tc>
    </w:tr>
    <w:tr w:rsidR="003A7239" w:rsidTr="008C288B">
      <w:tc>
        <w:tcPr>
          <w:tcW w:w="22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Default="003A7239" w:rsidP="003A7239">
          <w:pPr>
            <w:rPr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Default="003A7239" w:rsidP="003A7239">
          <w:pPr>
            <w:rPr>
              <w:b/>
              <w:lang w:eastAsia="tr-TR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239" w:rsidRDefault="003A7239" w:rsidP="003A7239">
          <w:pPr>
            <w:pStyle w:val="stbilgi"/>
            <w:rPr>
              <w:sz w:val="18"/>
            </w:rPr>
          </w:pPr>
          <w:r>
            <w:rPr>
              <w:sz w:val="18"/>
            </w:rPr>
            <w:t>Revizyon No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239" w:rsidRDefault="003A7239" w:rsidP="003A7239">
          <w:pPr>
            <w:pStyle w:val="stbilgi"/>
            <w:rPr>
              <w:sz w:val="18"/>
            </w:rPr>
          </w:pPr>
        </w:p>
      </w:tc>
    </w:tr>
    <w:tr w:rsidR="003A7239" w:rsidTr="008C288B">
      <w:tc>
        <w:tcPr>
          <w:tcW w:w="22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Default="003A7239" w:rsidP="003A7239">
          <w:pPr>
            <w:rPr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Default="003A7239" w:rsidP="003A7239">
          <w:pPr>
            <w:rPr>
              <w:b/>
              <w:lang w:eastAsia="tr-TR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239" w:rsidRDefault="003A7239" w:rsidP="003A7239">
          <w:pPr>
            <w:pStyle w:val="stbilgi"/>
            <w:rPr>
              <w:sz w:val="18"/>
            </w:rPr>
          </w:pPr>
          <w:r>
            <w:rPr>
              <w:sz w:val="18"/>
            </w:rPr>
            <w:t>Revizyon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239" w:rsidRDefault="003A7239" w:rsidP="003A7239">
          <w:pPr>
            <w:pStyle w:val="stbilgi"/>
            <w:rPr>
              <w:sz w:val="18"/>
            </w:rPr>
          </w:pPr>
        </w:p>
      </w:tc>
    </w:tr>
    <w:tr w:rsidR="003A7239" w:rsidTr="008C288B">
      <w:tc>
        <w:tcPr>
          <w:tcW w:w="22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Default="003A7239" w:rsidP="003A7239">
          <w:pPr>
            <w:rPr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Default="003A7239" w:rsidP="003A7239">
          <w:pPr>
            <w:rPr>
              <w:b/>
              <w:lang w:eastAsia="tr-TR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239" w:rsidRDefault="003A7239" w:rsidP="003A7239">
          <w:pPr>
            <w:pStyle w:val="stbilgi"/>
            <w:rPr>
              <w:sz w:val="18"/>
            </w:rPr>
          </w:pPr>
          <w:r>
            <w:rPr>
              <w:sz w:val="18"/>
            </w:rPr>
            <w:t>Düzenleme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239" w:rsidRDefault="00B52D1E" w:rsidP="002451DB">
          <w:pPr>
            <w:pStyle w:val="stbilgi"/>
            <w:rPr>
              <w:sz w:val="18"/>
            </w:rPr>
          </w:pPr>
          <w:r>
            <w:rPr>
              <w:sz w:val="18"/>
            </w:rPr>
            <w:t>06</w:t>
          </w:r>
          <w:r w:rsidR="002451DB">
            <w:rPr>
              <w:sz w:val="18"/>
            </w:rPr>
            <w:t>.0</w:t>
          </w:r>
          <w:r w:rsidR="00960914">
            <w:rPr>
              <w:sz w:val="18"/>
            </w:rPr>
            <w:t>9</w:t>
          </w:r>
          <w:r w:rsidR="003A7239">
            <w:rPr>
              <w:sz w:val="18"/>
            </w:rPr>
            <w:t>.2018</w:t>
          </w:r>
        </w:p>
      </w:tc>
    </w:tr>
    <w:tr w:rsidR="003A7239" w:rsidTr="008C288B">
      <w:trPr>
        <w:trHeight w:val="606"/>
      </w:trPr>
      <w:tc>
        <w:tcPr>
          <w:tcW w:w="22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Default="003A7239" w:rsidP="003A7239">
          <w:pPr>
            <w:rPr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239" w:rsidRDefault="003A7239" w:rsidP="003A7239">
          <w:pPr>
            <w:rPr>
              <w:b/>
              <w:lang w:eastAsia="tr-TR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239" w:rsidRDefault="003A7239" w:rsidP="003A7239">
          <w:pPr>
            <w:pStyle w:val="stbilgi"/>
            <w:rPr>
              <w:sz w:val="18"/>
            </w:rPr>
          </w:pPr>
        </w:p>
        <w:p w:rsidR="003A7239" w:rsidRDefault="003A7239" w:rsidP="003A7239">
          <w:pPr>
            <w:pStyle w:val="stbilgi"/>
            <w:rPr>
              <w:sz w:val="18"/>
            </w:rPr>
          </w:pPr>
          <w:r>
            <w:rPr>
              <w:sz w:val="18"/>
            </w:rPr>
            <w:t>Kurum Kodu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239" w:rsidRDefault="003A7239" w:rsidP="003A7239">
          <w:pPr>
            <w:pStyle w:val="stbilgi"/>
            <w:rPr>
              <w:sz w:val="18"/>
            </w:rPr>
          </w:pPr>
        </w:p>
        <w:p w:rsidR="003A7239" w:rsidRDefault="00F67840" w:rsidP="003A7239">
          <w:pPr>
            <w:pStyle w:val="stbilgi"/>
            <w:rPr>
              <w:sz w:val="18"/>
            </w:rPr>
          </w:pPr>
          <w:r>
            <w:rPr>
              <w:sz w:val="18"/>
            </w:rPr>
            <w:t>754736</w:t>
          </w:r>
        </w:p>
      </w:tc>
    </w:tr>
  </w:tbl>
  <w:p w:rsidR="003A7239" w:rsidRDefault="003A72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D4"/>
    <w:rsid w:val="000014D9"/>
    <w:rsid w:val="0003501C"/>
    <w:rsid w:val="000515D0"/>
    <w:rsid w:val="00082613"/>
    <w:rsid w:val="00090888"/>
    <w:rsid w:val="000B5503"/>
    <w:rsid w:val="000E79DA"/>
    <w:rsid w:val="000F7894"/>
    <w:rsid w:val="00151D0C"/>
    <w:rsid w:val="001852AD"/>
    <w:rsid w:val="00236396"/>
    <w:rsid w:val="002451DB"/>
    <w:rsid w:val="00271C52"/>
    <w:rsid w:val="002C011C"/>
    <w:rsid w:val="002C7DDE"/>
    <w:rsid w:val="002F6EC0"/>
    <w:rsid w:val="003818D4"/>
    <w:rsid w:val="003A7239"/>
    <w:rsid w:val="003C53DD"/>
    <w:rsid w:val="003F3D1C"/>
    <w:rsid w:val="00405D3C"/>
    <w:rsid w:val="00410E45"/>
    <w:rsid w:val="004161BA"/>
    <w:rsid w:val="00427995"/>
    <w:rsid w:val="00492C6C"/>
    <w:rsid w:val="004A0FFF"/>
    <w:rsid w:val="004E62C3"/>
    <w:rsid w:val="004F0CD8"/>
    <w:rsid w:val="004F5864"/>
    <w:rsid w:val="00522AFD"/>
    <w:rsid w:val="00527506"/>
    <w:rsid w:val="00583AD2"/>
    <w:rsid w:val="005B38A1"/>
    <w:rsid w:val="005D25DC"/>
    <w:rsid w:val="005F3FEC"/>
    <w:rsid w:val="00607A82"/>
    <w:rsid w:val="00635C6D"/>
    <w:rsid w:val="006638C3"/>
    <w:rsid w:val="00665756"/>
    <w:rsid w:val="006B25F9"/>
    <w:rsid w:val="00712241"/>
    <w:rsid w:val="0077712D"/>
    <w:rsid w:val="007A74D7"/>
    <w:rsid w:val="007E565B"/>
    <w:rsid w:val="00836503"/>
    <w:rsid w:val="00852C01"/>
    <w:rsid w:val="008A2E59"/>
    <w:rsid w:val="008D2912"/>
    <w:rsid w:val="008D2D24"/>
    <w:rsid w:val="0092470B"/>
    <w:rsid w:val="00957CE2"/>
    <w:rsid w:val="00960914"/>
    <w:rsid w:val="0099430E"/>
    <w:rsid w:val="009D35F5"/>
    <w:rsid w:val="00A301C3"/>
    <w:rsid w:val="00A342EB"/>
    <w:rsid w:val="00B053C7"/>
    <w:rsid w:val="00B52D1E"/>
    <w:rsid w:val="00B81543"/>
    <w:rsid w:val="00B821F1"/>
    <w:rsid w:val="00B8680C"/>
    <w:rsid w:val="00B95F9E"/>
    <w:rsid w:val="00BA1AE1"/>
    <w:rsid w:val="00BD2972"/>
    <w:rsid w:val="00BE0F2D"/>
    <w:rsid w:val="00BF0AB1"/>
    <w:rsid w:val="00C27CF3"/>
    <w:rsid w:val="00CB55C1"/>
    <w:rsid w:val="00CD3D40"/>
    <w:rsid w:val="00CE5CE5"/>
    <w:rsid w:val="00D1790B"/>
    <w:rsid w:val="00D243C4"/>
    <w:rsid w:val="00D437F6"/>
    <w:rsid w:val="00D47012"/>
    <w:rsid w:val="00D77B5B"/>
    <w:rsid w:val="00E237D2"/>
    <w:rsid w:val="00EB672B"/>
    <w:rsid w:val="00EC2AE9"/>
    <w:rsid w:val="00EE50BB"/>
    <w:rsid w:val="00F117F8"/>
    <w:rsid w:val="00F608DC"/>
    <w:rsid w:val="00F67840"/>
    <w:rsid w:val="00FC2BFD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7A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7A82"/>
    <w:rPr>
      <w:rFonts w:ascii="Tahoma" w:eastAsiaTheme="minorHAnsi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301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7A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7A82"/>
    <w:rPr>
      <w:rFonts w:ascii="Tahoma" w:eastAsiaTheme="minorHAnsi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301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5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8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957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MEBPC</cp:lastModifiedBy>
  <cp:revision>2</cp:revision>
  <dcterms:created xsi:type="dcterms:W3CDTF">2019-12-03T11:32:00Z</dcterms:created>
  <dcterms:modified xsi:type="dcterms:W3CDTF">2019-12-03T11:32:00Z</dcterms:modified>
</cp:coreProperties>
</file>